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hanging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上海师范大学本科课程标准（</w:t>
      </w:r>
      <w:r>
        <w:rPr>
          <w:rFonts w:hint="eastAsia"/>
          <w:b/>
          <w:sz w:val="28"/>
          <w:szCs w:val="28"/>
          <w:lang w:eastAsia="zh-CN"/>
        </w:rPr>
        <w:t>试行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</w:t>
      </w:r>
    </w:p>
    <w:p>
      <w:pPr>
        <w:ind w:left="141" w:hanging="141"/>
        <w:jc w:val="center"/>
        <w:rPr>
          <w:b/>
          <w:sz w:val="28"/>
          <w:szCs w:val="28"/>
        </w:rPr>
      </w:pPr>
    </w:p>
    <w:p>
      <w:pPr>
        <w:ind w:left="105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为了强化课程教学的过程质量</w:t>
      </w:r>
      <w:r>
        <w:rPr>
          <w:rFonts w:hint="eastAsia" w:ascii="Times New Roman" w:hAnsi="Times New Roman" w:cs="Times New Roman"/>
          <w:sz w:val="24"/>
          <w:szCs w:val="24"/>
        </w:rPr>
        <w:t>管理</w:t>
      </w:r>
      <w:r>
        <w:rPr>
          <w:rFonts w:ascii="Times New Roman" w:hAnsi="Times New Roman" w:cs="Times New Roman"/>
          <w:sz w:val="24"/>
          <w:szCs w:val="24"/>
        </w:rPr>
        <w:t>，推进</w:t>
      </w:r>
      <w:r>
        <w:rPr>
          <w:rFonts w:hint="eastAsia" w:ascii="Times New Roman" w:hAnsi="Times New Roman" w:cs="Times New Roman"/>
          <w:sz w:val="24"/>
          <w:szCs w:val="24"/>
        </w:rPr>
        <w:t>教师</w:t>
      </w:r>
      <w:r>
        <w:rPr>
          <w:rFonts w:ascii="Times New Roman" w:hAnsi="Times New Roman" w:cs="Times New Roman"/>
          <w:sz w:val="24"/>
          <w:szCs w:val="24"/>
        </w:rPr>
        <w:t>本科教学改革</w:t>
      </w:r>
      <w:r>
        <w:rPr>
          <w:rFonts w:hint="eastAsia" w:ascii="Times New Roman" w:hAnsi="Times New Roman" w:cs="Times New Roman"/>
          <w:sz w:val="24"/>
          <w:szCs w:val="24"/>
        </w:rPr>
        <w:t>，落实我校人才培养目标</w:t>
      </w:r>
      <w:r>
        <w:rPr>
          <w:rFonts w:ascii="Times New Roman" w:hAnsi="Times New Roman" w:cs="Times New Roman"/>
          <w:sz w:val="24"/>
          <w:szCs w:val="24"/>
        </w:rPr>
        <w:t>，根据课程对象的不同特征，特制定</w:t>
      </w:r>
      <w:r>
        <w:rPr>
          <w:rFonts w:hint="eastAsia" w:ascii="Times New Roman" w:hAnsi="Times New Roman" w:cs="Times New Roman"/>
          <w:sz w:val="24"/>
          <w:szCs w:val="24"/>
        </w:rPr>
        <w:t>适应于</w:t>
      </w:r>
      <w:r>
        <w:rPr>
          <w:rFonts w:ascii="Times New Roman" w:hAnsi="Times New Roman" w:cs="Times New Roman"/>
          <w:sz w:val="24"/>
          <w:szCs w:val="24"/>
        </w:rPr>
        <w:t>不同课程对象的课程分类标准。</w:t>
      </w:r>
    </w:p>
    <w:p>
      <w:pPr>
        <w:ind w:left="105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ind w:left="141" w:hanging="14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一、课程标准的总体框架</w:t>
      </w:r>
    </w:p>
    <w:p>
      <w:pPr>
        <w:ind w:left="105" w:hanging="10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73" o:spid="_x0000_s1073" o:spt="203" style="position:absolute;left:0pt;margin-left:38.5pt;margin-top:8.6pt;height:207pt;width:344pt;z-index:251901952;mso-width-relative:page;mso-height-relative:page;" coordorigin="2570,4732" coordsize="6880,4140">
            <o:lock v:ext="edit"/>
            <v:shape id="_x0000_s1068" o:spid="_x0000_s1068" o:spt="32" type="#_x0000_t32" style="position:absolute;left:4540;top:7952;height:0;width:65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group id="_x0000_s1072" o:spid="_x0000_s1072" o:spt="203" style="position:absolute;left:2570;top:4732;height:4140;width:6880;" coordorigin="2570,4732" coordsize="6880,4140">
              <o:lock v:ext="edit"/>
              <v:rect id="_x0000_s1026" o:spid="_x0000_s1026" o:spt="1" style="position:absolute;left:2570;top:4752;height:480;width:1340;" stroked="f" coordsize="21600,21600">
                <v:path/>
                <v:fill focussize="0,0"/>
                <v:stroke on="f"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课程类别</w:t>
                      </w:r>
                    </w:p>
                  </w:txbxContent>
                </v:textbox>
              </v:rect>
              <v:rect id="_x0000_s1027" o:spid="_x0000_s1027" o:spt="1" style="position:absolute;left:5190;top:7112;height:480;width:157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研究探索性</w:t>
                      </w:r>
                    </w:p>
                  </w:txbxContent>
                </v:textbox>
              </v:rect>
              <v:rect id="_x0000_s1028" o:spid="_x0000_s1028" o:spt="1" style="position:absolute;left:2570;top:7802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专业拓展课</w:t>
                      </w:r>
                    </w:p>
                  </w:txbxContent>
                </v:textbox>
              </v:rect>
              <v:rect id="_x0000_s1029" o:spid="_x0000_s1029" o:spt="1" style="position:absolute;left:2570;top:5390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通识必修课</w:t>
                      </w:r>
                    </w:p>
                  </w:txbxContent>
                </v:textbox>
              </v:rect>
              <v:rect id="_x0000_s1030" o:spid="_x0000_s1030" o:spt="1" style="position:absolute;left:2570;top:7192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通识选修课</w:t>
                      </w:r>
                    </w:p>
                  </w:txbxContent>
                </v:textbox>
              </v:rect>
              <v:rect id="_x0000_s1031" o:spid="_x0000_s1031" o:spt="1" style="position:absolute;left:2570;top:6592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专业方向课</w:t>
                      </w:r>
                    </w:p>
                  </w:txbxContent>
                </v:textbox>
              </v:rect>
              <v:rect id="_x0000_s1032" o:spid="_x0000_s1032" o:spt="1" style="position:absolute;left:2570;top:6012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专业必修课</w:t>
                      </w:r>
                    </w:p>
                  </w:txbxContent>
                </v:textbox>
              </v:rect>
              <v:rect id="_x0000_s1033" o:spid="_x0000_s1033" o:spt="1" style="position:absolute;left:2570;top:8392;height:480;width:162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实践性环节</w:t>
                      </w:r>
                    </w:p>
                  </w:txbxContent>
                </v:textbox>
              </v:rect>
              <v:rect id="_x0000_s1034" o:spid="_x0000_s1034" o:spt="1" style="position:absolute;left:5190;top:7842;height:480;width:157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实践体验性</w:t>
                      </w:r>
                    </w:p>
                  </w:txbxContent>
                </v:textbox>
              </v:rect>
              <v:rect id="_x0000_s1035" o:spid="_x0000_s1035" o:spt="1" style="position:absolute;left:5190;top:6462;height:480;width:157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方法技能性</w:t>
                      </w:r>
                    </w:p>
                  </w:txbxContent>
                </v:textbox>
              </v:rect>
              <v:rect id="_x0000_s1036" o:spid="_x0000_s1036" o:spt="1" style="position:absolute;left:5190;top:5752;height:480;width:157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学术知识性</w:t>
                      </w:r>
                    </w:p>
                  </w:txbxContent>
                </v:textbox>
              </v:rect>
              <v:rect id="_x0000_s1037" o:spid="_x0000_s1037" o:spt="1" style="position:absolute;left:5210;top:4742;height:480;width:1570;" stroked="f" coordsize="21600,21600">
                <v:path/>
                <v:fill focussize="0,0"/>
                <v:stroke on="f"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课程性质</w:t>
                      </w:r>
                    </w:p>
                  </w:txbxContent>
                </v:textbox>
              </v:rect>
              <v:rect id="_x0000_s1038" o:spid="_x0000_s1038" o:spt="1" style="position:absolute;left:7640;top:5752;height:480;width:157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课程标准一</w:t>
                      </w:r>
                    </w:p>
                  </w:txbxContent>
                </v:textbox>
              </v:rect>
              <v:rect id="_x0000_s1039" o:spid="_x0000_s1039" o:spt="1" style="position:absolute;left:7650;top:8022;height:480;width:156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课程标准三</w:t>
                      </w:r>
                    </w:p>
                  </w:txbxContent>
                </v:textbox>
              </v:rect>
              <v:rect id="_x0000_s1040" o:spid="_x0000_s1040" o:spt="1" style="position:absolute;left:7650;top:6852;height:480;width:1560;" stroked="t" coordsize="21600,21600">
                <v:path/>
                <v:fill focussize="0,0"/>
                <v:stroke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课程标准二</w:t>
                      </w:r>
                    </w:p>
                  </w:txbxContent>
                </v:textbox>
              </v:rect>
              <v:shape id="_x0000_s1041" o:spid="_x0000_s1041" o:spt="32" type="#_x0000_t32" style="position:absolute;left:4540;top:5602;height:1260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2" o:spid="_x0000_s1042" o:spt="32" type="#_x0000_t32" style="position:absolute;left:4190;top:5602;height:0;width:3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3" o:spid="_x0000_s1043" o:spt="32" type="#_x0000_t32" style="position:absolute;left:4190;top:6262;height:0;width:3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4" o:spid="_x0000_s1044" o:spt="32" type="#_x0000_t32" style="position:absolute;left:4190;top:6862;height:0;width:3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5" o:spid="_x0000_s1045" o:spt="32" type="#_x0000_t32" style="position:absolute;left:4540;top:6032;height:0;width:6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6" o:spid="_x0000_s1046" o:spt="32" type="#_x0000_t32" style="position:absolute;left:4540;top:7404;height:658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7" o:spid="_x0000_s1047" o:spt="32" type="#_x0000_t32" style="position:absolute;left:4190;top:7404;flip:x;height:0;width:3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48" o:spid="_x0000_s1048" o:spt="32" type="#_x0000_t32" style="position:absolute;left:4190;top:8062;flip:x;height:0;width:35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0" o:spid="_x0000_s1050" o:spt="32" type="#_x0000_t32" style="position:absolute;left:4730;top:6712;height:980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1" o:spid="_x0000_s1051" o:spt="32" type="#_x0000_t32" style="position:absolute;left:4730;top:6862;height:0;width:46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2" o:spid="_x0000_s1052" o:spt="32" type="#_x0000_t32" style="position:absolute;left:4730;top:7404;height:0;width:46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3" o:spid="_x0000_s1053" o:spt="32" type="#_x0000_t32" style="position:absolute;left:4540;top:6712;height:0;width:19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4" o:spid="_x0000_s1054" o:spt="32" type="#_x0000_t32" style="position:absolute;left:4540;top:7692;height:0;width:19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5" o:spid="_x0000_s1055" o:spt="32" type="#_x0000_t32" style="position:absolute;left:7170;top:8062;height:520;width:1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6" o:spid="_x0000_s1056" o:spt="32" type="#_x0000_t32" style="position:absolute;left:4190;top:8582;flip:x;height:0;width:298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7" o:spid="_x0000_s1057" o:spt="32" type="#_x0000_t32" style="position:absolute;left:6760;top:8072;height:0;width:41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8" o:spid="_x0000_s1058" o:spt="32" type="#_x0000_t32" style="position:absolute;left:7170;top:8272;height:0;width:48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59" o:spid="_x0000_s1059" o:spt="32" type="#_x0000_t32" style="position:absolute;left:6760;top:6002;flip:x;height:0;width:88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60" o:spid="_x0000_s1060" o:spt="32" type="#_x0000_t32" style="position:absolute;left:7170;top:6762;height:642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61" o:spid="_x0000_s1061" o:spt="32" type="#_x0000_t32" style="position:absolute;left:6760;top:6762;flip:x;height:0;width:41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62" o:spid="_x0000_s1062" o:spt="32" type="#_x0000_t32" style="position:absolute;left:6760;top:7404;flip:x;height:0;width:41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063" o:spid="_x0000_s1063" o:spt="32" type="#_x0000_t32" style="position:absolute;left:7170;top:7042;flip:x;height:0;width:47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rect id="_x0000_s1064" o:spid="_x0000_s1064" o:spt="1" style="position:absolute;left:7610;top:4732;height:480;width:1840;" stroked="f" coordsize="21600,21600">
                <v:path/>
                <v:fill focussize="0,0"/>
                <v:stroke on="f" color="#000000 [3213]"/>
                <v:imagedata o:title=""/>
                <o:lock v:ext="edit"/>
                <v:textbox>
                  <w:txbxContent>
                    <w:p>
                      <w:pPr>
                        <w:spacing w:line="240" w:lineRule="auto"/>
                        <w:ind w:left="0"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课程标准</w:t>
                      </w:r>
                    </w:p>
                  </w:txbxContent>
                </v:textbox>
              </v:rect>
            </v:group>
          </v:group>
        </w:pict>
      </w: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05" w:hanging="105"/>
        <w:jc w:val="left"/>
        <w:rPr>
          <w:rFonts w:ascii="Times New Roman" w:hAnsi="Times New Roman" w:cs="Times New Roman"/>
        </w:rPr>
      </w:pPr>
    </w:p>
    <w:p>
      <w:pPr>
        <w:ind w:left="141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二、课程分类标准</w:t>
      </w:r>
    </w:p>
    <w:p>
      <w:pPr>
        <w:ind w:left="141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课程标准一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适应的课程对象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课程类别为通识必修课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专业必修课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专业方向课的课程中，课程性质为学术知识性的课程。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教学内容及进度安排要求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此类课程对象的教学过程中，讲授系统性的概念、原理及理论的课时不低于总课时量的2/3，（需要清晰地呈现每一章或教学单元的教学内容、学习要求、授课形式和课后作业等，学生由此可以准确地了解每一章或教学单元的学习任务，课后可根据教学进程，规划、开展自主学习）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作业或练习要求</w:t>
      </w:r>
    </w:p>
    <w:p>
      <w:pPr>
        <w:pStyle w:val="7"/>
        <w:ind w:left="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每门课程</w:t>
      </w:r>
      <w:r>
        <w:rPr>
          <w:rFonts w:hint="eastAsia" w:ascii="Times New Roman" w:hAnsi="Times New Roman" w:cs="Times New Roman"/>
          <w:sz w:val="24"/>
          <w:szCs w:val="24"/>
        </w:rPr>
        <w:t>应开列参考阅读书目，提出精读阅读量，</w:t>
      </w:r>
      <w:r>
        <w:rPr>
          <w:rFonts w:ascii="Times New Roman" w:hAnsi="Times New Roman" w:cs="Times New Roman"/>
          <w:sz w:val="24"/>
          <w:szCs w:val="24"/>
        </w:rPr>
        <w:t>要求至少布置三次作业或小测验，作业或小测验至少批改三次，并给出成绩。作为计算学生最终成绩的依据之一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期中考试</w:t>
      </w:r>
    </w:p>
    <w:p>
      <w:pPr>
        <w:pStyle w:val="7"/>
        <w:ind w:left="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期中考试由任课老师在第8-9周随堂进行，成绩作为计算学生最终成绩的依据之一。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期末考试形式</w:t>
      </w:r>
      <w:r>
        <w:rPr>
          <w:rFonts w:hint="eastAsia" w:ascii="Times New Roman" w:hAnsi="Times New Roman" w:cs="Times New Roman"/>
          <w:b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闭卷笔试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最终考评成绩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学生课程学习的最终成绩以百分制计算，由过程学习成绩和期末考试成绩构成，平时成绩占30%-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cs="Times New Roman"/>
          <w:sz w:val="24"/>
          <w:szCs w:val="24"/>
        </w:rPr>
        <w:t>0%，具体比例由教师确定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并在课程教学大纲中清晰表明。（平时成绩由考勤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课堂表现、作业或小测验，期中考试构成）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成绩结构为：最终成绩=</w:t>
      </w:r>
      <w:r>
        <w:rPr>
          <w:rFonts w:ascii="黑体" w:hAnsi="黑体" w:eastAsia="黑体" w:cs="Times New Roman"/>
          <w:b/>
          <w:sz w:val="24"/>
          <w:szCs w:val="24"/>
        </w:rPr>
        <w:t>平时成绩</w:t>
      </w:r>
      <w:r>
        <w:rPr>
          <w:rFonts w:ascii="Times New Roman" w:hAnsi="Times New Roman" w:cs="Times New Roman"/>
          <w:sz w:val="24"/>
          <w:szCs w:val="24"/>
        </w:rPr>
        <w:t>（30-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cs="Times New Roman"/>
          <w:sz w:val="24"/>
          <w:szCs w:val="24"/>
        </w:rPr>
        <w:t>0%）（其中：</w:t>
      </w:r>
      <w:r>
        <w:rPr>
          <w:rFonts w:ascii="黑体" w:hAnsi="黑体" w:eastAsia="黑体" w:cs="Times New Roman"/>
          <w:b/>
          <w:sz w:val="24"/>
          <w:szCs w:val="24"/>
        </w:rPr>
        <w:t>考勤分</w:t>
      </w:r>
      <w:r>
        <w:rPr>
          <w:rFonts w:ascii="Times New Roman" w:hAnsi="Times New Roman" w:cs="Times New Roman"/>
          <w:sz w:val="24"/>
          <w:szCs w:val="24"/>
        </w:rPr>
        <w:t>？%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课堂表现分？%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黑体" w:hAnsi="黑体" w:eastAsia="黑体" w:cs="Times New Roman"/>
          <w:b/>
          <w:sz w:val="24"/>
          <w:szCs w:val="24"/>
        </w:rPr>
        <w:t>作业小测分</w:t>
      </w:r>
      <w:r>
        <w:rPr>
          <w:rFonts w:ascii="Times New Roman" w:hAnsi="Times New Roman" w:cs="Times New Roman"/>
          <w:sz w:val="24"/>
          <w:szCs w:val="24"/>
        </w:rPr>
        <w:t>？%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黑体" w:hAnsi="黑体" w:eastAsia="黑体" w:cs="Times New Roman"/>
          <w:b/>
          <w:sz w:val="24"/>
          <w:szCs w:val="24"/>
        </w:rPr>
        <w:t>其中考试</w:t>
      </w:r>
      <w:r>
        <w:rPr>
          <w:rFonts w:ascii="Times New Roman" w:hAnsi="Times New Roman" w:cs="Times New Roman"/>
          <w:sz w:val="24"/>
          <w:szCs w:val="24"/>
        </w:rPr>
        <w:t>？%）+</w:t>
      </w:r>
      <w:r>
        <w:rPr>
          <w:rFonts w:ascii="黑体" w:hAnsi="黑体" w:eastAsia="黑体" w:cs="Times New Roman"/>
          <w:b/>
          <w:sz w:val="24"/>
          <w:szCs w:val="24"/>
        </w:rPr>
        <w:t>期末成绩</w:t>
      </w:r>
      <w:r>
        <w:rPr>
          <w:rFonts w:ascii="Times New Roman" w:hAnsi="Times New Roman" w:cs="Times New Roman"/>
          <w:sz w:val="24"/>
          <w:szCs w:val="24"/>
        </w:rPr>
        <w:t>？%（在课程教学大纲中清晰表明，</w:t>
      </w:r>
      <w:r>
        <w:rPr>
          <w:rFonts w:hint="eastAsia" w:ascii="黑体" w:hAnsi="黑体" w:eastAsia="黑体" w:cs="Times New Roman"/>
          <w:b/>
          <w:sz w:val="24"/>
          <w:szCs w:val="24"/>
        </w:rPr>
        <w:t>黑体</w:t>
      </w:r>
      <w:r>
        <w:rPr>
          <w:rFonts w:ascii="Times New Roman" w:hAnsi="Times New Roman" w:cs="Times New Roman"/>
          <w:sz w:val="24"/>
          <w:szCs w:val="24"/>
        </w:rPr>
        <w:t>项必选）。</w:t>
      </w:r>
      <w:r>
        <w:rPr>
          <w:rFonts w:ascii="Times New Roman" w:hAnsi="Times New Roman" w:cs="Times New Roman"/>
          <w:i/>
          <w:sz w:val="24"/>
          <w:szCs w:val="24"/>
        </w:rPr>
        <w:t>注</w:t>
      </w:r>
      <w:r>
        <w:rPr>
          <w:rFonts w:ascii="Times New Roman" w:hAnsi="Times New Roman" w:cs="Times New Roman"/>
          <w:b/>
          <w:i/>
          <w:sz w:val="24"/>
          <w:szCs w:val="24"/>
        </w:rPr>
        <w:t>：</w:t>
      </w:r>
      <w:r>
        <w:rPr>
          <w:rFonts w:ascii="Times New Roman" w:hAnsi="Times New Roman" w:cs="Times New Roman"/>
          <w:i/>
          <w:sz w:val="24"/>
          <w:szCs w:val="24"/>
        </w:rPr>
        <w:t>每项成绩必须有计算依据</w:t>
      </w:r>
    </w:p>
    <w:p>
      <w:pPr>
        <w:ind w:left="105" w:firstLine="420" w:firstLineChars="200"/>
        <w:rPr>
          <w:rFonts w:ascii="Times New Roman" w:hAnsi="Times New Roman" w:cs="Times New Roman"/>
          <w:szCs w:val="21"/>
        </w:rPr>
      </w:pPr>
    </w:p>
    <w:p>
      <w:pPr>
        <w:ind w:left="48" w:hanging="48" w:hangingChars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课程标准二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适应的课程对象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课程类别为通识必修课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专业必修课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专业方向课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通识选修课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专业拓展课的课程中，课程性质为方法技能性</w:t>
      </w:r>
      <w:r>
        <w:rPr>
          <w:rFonts w:hint="eastAsia" w:ascii="Times New Roman" w:hAnsi="Times New Roman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研究探索性的课程。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教学内容及进度安排要求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该类课程对象的教学过程中，“学生的技能训练、尝试、实验环节”或“指导学生开展研讨、独立或团队合作的探究式研习活动”应不少于总课时量的1/2。</w:t>
      </w:r>
      <w:r>
        <w:rPr>
          <w:rFonts w:hint="eastAsia" w:ascii="Times New Roman" w:hAnsi="Times New Roman" w:cs="Times New Roman"/>
          <w:sz w:val="24"/>
          <w:szCs w:val="24"/>
        </w:rPr>
        <w:t>（需要清晰地呈现每一章或教学单元的教学内容、学习要求、授课形式和课后作业等，学生由此可以准确地了解每一章或教学单元的学习任务，课后可根据教学进程，规划、开展自主学习。）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hint="eastAsia" w:ascii="Times New Roman" w:hAnsi="Times New Roman" w:cs="Times New Roman"/>
          <w:b/>
          <w:sz w:val="24"/>
          <w:szCs w:val="24"/>
        </w:rPr>
        <w:t>教学活动</w:t>
      </w:r>
      <w:r>
        <w:rPr>
          <w:rFonts w:ascii="Times New Roman" w:hAnsi="Times New Roman" w:cs="Times New Roman"/>
          <w:b/>
          <w:sz w:val="24"/>
          <w:szCs w:val="24"/>
        </w:rPr>
        <w:t>开展的要求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方法技能培养或研究探索的每项活动，必须有</w:t>
      </w:r>
      <w:r>
        <w:rPr>
          <w:rFonts w:hint="eastAsia" w:ascii="Times New Roman" w:hAnsi="Times New Roman" w:cs="Times New Roman"/>
          <w:sz w:val="24"/>
          <w:szCs w:val="24"/>
        </w:rPr>
        <w:t>活动</w:t>
      </w:r>
      <w:r>
        <w:rPr>
          <w:rFonts w:ascii="Times New Roman" w:hAnsi="Times New Roman" w:cs="Times New Roman"/>
          <w:sz w:val="24"/>
          <w:szCs w:val="24"/>
        </w:rPr>
        <w:t>方案、评分准则和具体成绩，作为计算学生最终成绩的依据之一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left="48" w:hanging="48" w:hangingChars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4. 期中考试</w:t>
      </w:r>
    </w:p>
    <w:p>
      <w:pPr>
        <w:ind w:left="4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由任课教师决定。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期末考试形式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开卷或闭卷笔试，论文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方案设计或作品等，由教师自己确定，但必须在课程教学大纲中明确。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最终考评成绩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学生课程学习的最终成绩以百分制计算，最终成绩由过程学习成绩和期末考试成绩构成，平时成绩占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0%-70%，具体比例由教师在教学大纲中明晰。</w:t>
      </w:r>
    </w:p>
    <w:p>
      <w:pPr>
        <w:ind w:left="0" w:firstLine="0" w:firstLine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成绩结构为：最终成绩=平时成绩（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0-70%）（其中：考勤分？%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项目成绩？%）+期末成绩？% （在课程教学大纲中清晰表明）。</w:t>
      </w:r>
      <w:r>
        <w:rPr>
          <w:rFonts w:ascii="Times New Roman" w:hAnsi="Times New Roman" w:cs="Times New Roman"/>
          <w:i/>
          <w:sz w:val="24"/>
          <w:szCs w:val="24"/>
        </w:rPr>
        <w:t>注：每项成绩必须有计算依据</w:t>
      </w:r>
    </w:p>
    <w:p>
      <w:pPr>
        <w:ind w:left="0" w:firstLine="0" w:firstLineChars="0"/>
        <w:rPr>
          <w:rFonts w:ascii="Times New Roman" w:hAnsi="Times New Roman" w:cs="Times New Roman"/>
          <w:szCs w:val="21"/>
        </w:rPr>
      </w:pPr>
    </w:p>
    <w:p>
      <w:pPr>
        <w:ind w:left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课程标准三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适应的课程对象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课程类别为通识选修课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专业拓展课的课程中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课程性质为实践体验性的课程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或</w:t>
      </w:r>
      <w:r>
        <w:rPr>
          <w:rFonts w:hint="eastAsia" w:ascii="Times New Roman" w:hAnsi="Times New Roman" w:cs="Times New Roman"/>
          <w:sz w:val="24"/>
          <w:szCs w:val="24"/>
        </w:rPr>
        <w:t>课程类别为</w:t>
      </w:r>
      <w:r>
        <w:rPr>
          <w:rFonts w:ascii="Times New Roman" w:hAnsi="Times New Roman" w:cs="Times New Roman"/>
          <w:sz w:val="24"/>
          <w:szCs w:val="24"/>
        </w:rPr>
        <w:t>实践性环节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课程。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主要以学生进入与专业有关的实际情境，感受专业氛围，观摩专业人员实践过程，以及亲身参与实践，获得实践经验为目的。侧重学生在实践领域现场亲身参与的过程和相关体验的获得。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教学内容及进度安排要求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该类课程对象的教学过程中，学生为主体的实践体验环节应不少于总课时量的2/3,以学生在实践中的过程性、表现性评价为主。（在课程教学大纲中必须有实践体验的计划方案）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实践体验的要求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实践体验中必须有考勤记录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实践体验中的表现评价是否</w:t>
      </w:r>
      <w:r>
        <w:rPr>
          <w:rFonts w:hint="eastAsia" w:ascii="Times New Roman" w:hAnsi="Times New Roman" w:cs="Times New Roman"/>
          <w:sz w:val="24"/>
          <w:szCs w:val="24"/>
        </w:rPr>
        <w:t>需要，专业或指导教师</w:t>
      </w:r>
      <w:r>
        <w:rPr>
          <w:rFonts w:ascii="Times New Roman" w:hAnsi="Times New Roman" w:cs="Times New Roman"/>
          <w:sz w:val="24"/>
          <w:szCs w:val="24"/>
        </w:rPr>
        <w:t>视具体情况决定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作为计算学生最终成绩的依据之一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left="48" w:hanging="48" w:hangingChars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4.  中期考核</w:t>
      </w:r>
    </w:p>
    <w:p>
      <w:pPr>
        <w:ind w:left="48" w:leftChars="23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由专业或指导教师决定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终结性考核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报告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体会总结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论文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方案设计或作品等，由专业或教师确定，但必须在课程教学大纲中明确。</w:t>
      </w:r>
    </w:p>
    <w:p>
      <w:pPr>
        <w:ind w:left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最终考评成绩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学生课程学习的最终成绩以百分制计算，最终成绩由过程学习成绩和</w:t>
      </w:r>
      <w:r>
        <w:rPr>
          <w:rFonts w:hint="eastAsia" w:ascii="Times New Roman" w:hAnsi="Times New Roman" w:cs="Times New Roman"/>
          <w:sz w:val="24"/>
          <w:szCs w:val="24"/>
        </w:rPr>
        <w:t>终结</w:t>
      </w:r>
      <w:r>
        <w:rPr>
          <w:rFonts w:ascii="Times New Roman" w:hAnsi="Times New Roman" w:cs="Times New Roman"/>
          <w:sz w:val="24"/>
          <w:szCs w:val="24"/>
        </w:rPr>
        <w:t>性考核成绩构成，平时成绩占10%-70%，具体比例由专业或教师在教学大纲中明晰。</w:t>
      </w:r>
    </w:p>
    <w:p>
      <w:pPr>
        <w:ind w:left="0" w:firstLine="480" w:firstLineChars="2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成绩结构为：最终成绩=</w:t>
      </w:r>
      <w:r>
        <w:rPr>
          <w:rFonts w:ascii="黑体" w:hAnsi="黑体" w:eastAsia="黑体" w:cs="Times New Roman"/>
          <w:b/>
          <w:sz w:val="24"/>
          <w:szCs w:val="24"/>
        </w:rPr>
        <w:t>平时成绩</w:t>
      </w:r>
      <w:r>
        <w:rPr>
          <w:rFonts w:ascii="Times New Roman" w:hAnsi="Times New Roman" w:cs="Times New Roman"/>
          <w:sz w:val="24"/>
          <w:szCs w:val="24"/>
        </w:rPr>
        <w:t>（10-70%）（其中：</w:t>
      </w:r>
      <w:r>
        <w:rPr>
          <w:rFonts w:ascii="黑体" w:hAnsi="黑体" w:eastAsia="黑体" w:cs="Times New Roman"/>
          <w:b/>
          <w:sz w:val="24"/>
          <w:szCs w:val="24"/>
        </w:rPr>
        <w:t>考勤分</w:t>
      </w:r>
      <w:r>
        <w:rPr>
          <w:rFonts w:ascii="Times New Roman" w:hAnsi="Times New Roman" w:cs="Times New Roman"/>
          <w:sz w:val="24"/>
          <w:szCs w:val="24"/>
        </w:rPr>
        <w:t>？%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平时表现成绩？%）+</w:t>
      </w:r>
      <w:r>
        <w:rPr>
          <w:rFonts w:ascii="黑体" w:hAnsi="黑体" w:eastAsia="黑体" w:cs="Times New Roman"/>
          <w:b/>
          <w:sz w:val="24"/>
          <w:szCs w:val="24"/>
        </w:rPr>
        <w:t>终结性考核成绩</w:t>
      </w:r>
      <w:r>
        <w:rPr>
          <w:rFonts w:ascii="Times New Roman" w:hAnsi="Times New Roman" w:cs="Times New Roman"/>
          <w:sz w:val="24"/>
          <w:szCs w:val="24"/>
        </w:rPr>
        <w:t>？%（在课程教学大纲中清晰表明，</w:t>
      </w:r>
      <w:r>
        <w:rPr>
          <w:rFonts w:hint="eastAsia" w:ascii="黑体" w:hAnsi="黑体" w:eastAsia="黑体" w:cs="Times New Roman"/>
          <w:b/>
          <w:sz w:val="24"/>
          <w:szCs w:val="24"/>
        </w:rPr>
        <w:t>黑体</w:t>
      </w:r>
      <w:r>
        <w:rPr>
          <w:rFonts w:ascii="Times New Roman" w:hAnsi="Times New Roman" w:cs="Times New Roman"/>
          <w:sz w:val="24"/>
          <w:szCs w:val="24"/>
        </w:rPr>
        <w:t>项必选）。</w:t>
      </w:r>
      <w:r>
        <w:rPr>
          <w:rFonts w:ascii="Times New Roman" w:hAnsi="Times New Roman" w:cs="Times New Roman"/>
          <w:i/>
          <w:sz w:val="24"/>
          <w:szCs w:val="24"/>
        </w:rPr>
        <w:t>注：每项成绩必须有计算依据</w:t>
      </w:r>
    </w:p>
    <w:p>
      <w:pPr>
        <w:ind w:left="0" w:firstLine="0" w:firstLineChars="0"/>
        <w:rPr>
          <w:rFonts w:ascii="Times New Roman" w:hAnsi="Times New Roman" w:cs="Times New Roman"/>
          <w:szCs w:val="21"/>
        </w:rPr>
      </w:pPr>
    </w:p>
    <w:p>
      <w:pPr>
        <w:ind w:left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注</w:t>
      </w:r>
      <w:r>
        <w:rPr>
          <w:rFonts w:ascii="Times New Roman" w:hAnsi="Times New Roman" w:cs="Times New Roman"/>
          <w:b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课程性质中，四种课程性质的含义如下</w:t>
      </w:r>
    </w:p>
    <w:p>
      <w:pPr>
        <w:ind w:left="0" w:firstLine="48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学术知识性课程：主要以学生掌握特定领域内基础性、系统性或前沿性的知识为目的。侧重学科领域中陈述性知识、命题性知识的学习与掌握。如：先秦制度史、教育原理、概率与数理统计、西方经济学等。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方法技能性课程：主要以学生掌握与专业、特定领域工作相关的一系列方法、技巧、技能、手段为目的。侧重程序性知识的学习与训练。如：静物摄影、谈判策略、SPSS应用、实验方法、教育研究方法等。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研究探索性课程：主要以学生较为独立地发现问题、分析问题、解决问题、探究新知、形成批判思维的意识和观点等为目的。课程侧重研究能力（尤其是理解力、反思力、创造力）的培养。如：案例学习、项目学习、名著自修、小课题研究等。</w:t>
      </w:r>
    </w:p>
    <w:p>
      <w:pPr>
        <w:ind w:left="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实践体验性课程：主要以学生进入与专业有关的实际情境，感受专业氛围，观摩专业人员实践过程，以及亲身参与实践，获得实践经验为目的。课程侧重学生在实践领域现场亲身参与的过程和相关体验的获得。如：模拟实训、微格教学、见习、实习、短期国内外专业培训或实践活动等。</w:t>
      </w:r>
    </w:p>
    <w:p>
      <w:pPr>
        <w:ind w:left="105" w:firstLine="420" w:firstLineChars="20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90" w:hanging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90" w:hanging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90" w:hanging="9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90" w:hanging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90" w:hanging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90" w:hanging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E7"/>
    <w:multiLevelType w:val="multilevel"/>
    <w:tmpl w:val="008110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5FD"/>
    <w:rsid w:val="00033CB3"/>
    <w:rsid w:val="00070B92"/>
    <w:rsid w:val="0008394A"/>
    <w:rsid w:val="00085A57"/>
    <w:rsid w:val="000D34A6"/>
    <w:rsid w:val="00193F16"/>
    <w:rsid w:val="001A7121"/>
    <w:rsid w:val="001D006B"/>
    <w:rsid w:val="001D397D"/>
    <w:rsid w:val="00223887"/>
    <w:rsid w:val="002249B7"/>
    <w:rsid w:val="002351E1"/>
    <w:rsid w:val="002655FD"/>
    <w:rsid w:val="00265ED8"/>
    <w:rsid w:val="002965CA"/>
    <w:rsid w:val="002E4DB8"/>
    <w:rsid w:val="004958BE"/>
    <w:rsid w:val="00526FF7"/>
    <w:rsid w:val="00531B47"/>
    <w:rsid w:val="005A3D1F"/>
    <w:rsid w:val="005B7F6E"/>
    <w:rsid w:val="005D71E1"/>
    <w:rsid w:val="005E00C8"/>
    <w:rsid w:val="005E406A"/>
    <w:rsid w:val="0061118B"/>
    <w:rsid w:val="006641F4"/>
    <w:rsid w:val="006C1601"/>
    <w:rsid w:val="006E142F"/>
    <w:rsid w:val="0073728B"/>
    <w:rsid w:val="007D371C"/>
    <w:rsid w:val="00805374"/>
    <w:rsid w:val="00824FCB"/>
    <w:rsid w:val="00925A83"/>
    <w:rsid w:val="009A0674"/>
    <w:rsid w:val="009A270D"/>
    <w:rsid w:val="009F57D8"/>
    <w:rsid w:val="00A54F5E"/>
    <w:rsid w:val="00A70FFE"/>
    <w:rsid w:val="00B43465"/>
    <w:rsid w:val="00BF4240"/>
    <w:rsid w:val="00BF5765"/>
    <w:rsid w:val="00D07653"/>
    <w:rsid w:val="00D26F10"/>
    <w:rsid w:val="00D626CF"/>
    <w:rsid w:val="00D7616D"/>
    <w:rsid w:val="00E619E1"/>
    <w:rsid w:val="00ED1A85"/>
    <w:rsid w:val="00F3748A"/>
    <w:rsid w:val="00F37E13"/>
    <w:rsid w:val="282D4048"/>
    <w:rsid w:val="7FD32D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50" w:hanging="50" w:hanging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uto"/>
      <w:ind w:left="0"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72"/>
    <customShpInfo spid="_x0000_s1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FECAA-698E-4210-9DEA-E78CAA3AEB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1874</Characters>
  <Lines>15</Lines>
  <Paragraphs>4</Paragraphs>
  <TotalTime>0</TotalTime>
  <ScaleCrop>false</ScaleCrop>
  <LinksUpToDate>false</LinksUpToDate>
  <CharactersWithSpaces>2198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2016-09-09T06:42:00Z</dcterms:created>
  <dc:creator>aa</dc:creator>
  <cp:lastModifiedBy>Administrator</cp:lastModifiedBy>
  <dcterms:modified xsi:type="dcterms:W3CDTF">2016-12-06T02:43:43Z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